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95" w:rsidRPr="00173C95" w:rsidRDefault="00173C95" w:rsidP="0017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73C95" w:rsidRPr="00173C95" w:rsidRDefault="00173C95" w:rsidP="0017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C95">
        <w:rPr>
          <w:rFonts w:ascii="Times New Roman" w:eastAsia="Times New Roman" w:hAnsi="Times New Roman" w:cs="Times New Roman"/>
          <w:sz w:val="24"/>
          <w:szCs w:val="24"/>
        </w:rPr>
        <w:t>П Е Р Е Л І К</w:t>
      </w:r>
    </w:p>
    <w:p w:rsidR="00173C95" w:rsidRPr="00173C95" w:rsidRDefault="00173C95" w:rsidP="0017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C95">
        <w:rPr>
          <w:rFonts w:ascii="Times New Roman" w:eastAsia="Times New Roman" w:hAnsi="Times New Roman" w:cs="Times New Roman"/>
          <w:sz w:val="24"/>
          <w:szCs w:val="24"/>
        </w:rPr>
        <w:t xml:space="preserve">актів департаменту освіти і науки Рівненської обласної державної адміністрації, </w:t>
      </w:r>
    </w:p>
    <w:p w:rsidR="00173C95" w:rsidRPr="00173C95" w:rsidRDefault="00173C95" w:rsidP="0017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C95">
        <w:rPr>
          <w:rFonts w:ascii="Times New Roman" w:eastAsia="Times New Roman" w:hAnsi="Times New Roman" w:cs="Times New Roman"/>
          <w:sz w:val="24"/>
          <w:szCs w:val="24"/>
        </w:rPr>
        <w:t>прийнятих у червні 2024 року</w:t>
      </w:r>
    </w:p>
    <w:p w:rsidR="00173C95" w:rsidRPr="00173C95" w:rsidRDefault="00173C95" w:rsidP="00173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7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1659"/>
        <w:gridCol w:w="1122"/>
        <w:gridCol w:w="1200"/>
        <w:gridCol w:w="3120"/>
        <w:gridCol w:w="7474"/>
      </w:tblGrid>
      <w:tr w:rsidR="00173C95" w:rsidRPr="00173C95" w:rsidTr="00173C95"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Найменування суб’єкта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нормотворення</w:t>
            </w:r>
            <w:proofErr w:type="spellEnd"/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розпоряд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-чого документа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прийняття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його номер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3C95" w:rsidRPr="00173C95" w:rsidRDefault="00173C95" w:rsidP="00173C95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Повна назва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7474" w:type="dxa"/>
          </w:tcPr>
          <w:p w:rsidR="00173C95" w:rsidRPr="00173C95" w:rsidRDefault="00173C95" w:rsidP="00173C95">
            <w:pPr>
              <w:tabs>
                <w:tab w:val="left" w:pos="430"/>
              </w:tabs>
              <w:suppressAutoHyphens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bookmarkStart w:id="0" w:name="_GoBack"/>
            <w:bookmarkEnd w:id="0"/>
          </w:p>
          <w:p w:rsidR="00173C95" w:rsidRPr="00173C95" w:rsidRDefault="00173C95" w:rsidP="00173C95">
            <w:pPr>
              <w:tabs>
                <w:tab w:val="left" w:pos="430"/>
              </w:tabs>
              <w:suppressAutoHyphens/>
              <w:spacing w:after="0" w:line="240" w:lineRule="auto"/>
              <w:ind w:firstLine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Короткий зміст акта,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що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розкриває суть його</w:t>
            </w:r>
          </w:p>
          <w:p w:rsidR="00173C95" w:rsidRPr="00173C95" w:rsidRDefault="00173C95" w:rsidP="00173C95">
            <w:pPr>
              <w:tabs>
                <w:tab w:val="left" w:pos="430"/>
              </w:tabs>
              <w:suppressAutoHyphens/>
              <w:spacing w:after="0" w:line="240" w:lineRule="auto"/>
              <w:ind w:firstLine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правового регулювання</w:t>
            </w:r>
          </w:p>
        </w:tc>
      </w:tr>
      <w:tr w:rsidR="00173C95" w:rsidRPr="00173C95" w:rsidTr="00173C95">
        <w:trPr>
          <w:trHeight w:val="768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139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паспорти бюджетних програм на 2024 рік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Затвердити паспорти бюджетної програми місцевого бюджету на 2024 рік за КПКВКМБ 0611221, 0611222 погоджених департаментом фінансів Рівненської обласної державної адміністрації, що додаються.</w:t>
            </w:r>
          </w:p>
          <w:p w:rsidR="00173C95" w:rsidRPr="00173C95" w:rsidRDefault="00173C95" w:rsidP="00173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Внести зміни до паспортів бюджетних програм місцевого бюджету на 2024 рік  за КПКВКМБ  0611091, 0611101, 0611120, 0611142, 0615031 затверджених наказом департаменту освіти і науки Рівненської обласної державної адміністрації від 30 січня 2024 року № 19, виклавши їх у новій редакції, погодженій департаментом фінансів Рівненської обласної державної адміністрації, що додаються</w:t>
            </w:r>
          </w:p>
        </w:tc>
      </w:tr>
      <w:tr w:rsidR="00173C95" w:rsidRPr="00173C95" w:rsidTr="00173C95">
        <w:trPr>
          <w:trHeight w:val="15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140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Про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підсумки проведення </w:t>
            </w:r>
            <w:proofErr w:type="spellStart"/>
            <w:proofErr w:type="gram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обласної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виставки</w:t>
            </w:r>
            <w:proofErr w:type="spellEnd"/>
            <w:proofErr w:type="gram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-конкурсу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серед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учнів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молодшого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шкільного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віку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з  початкового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технічного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моделювання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(до 10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років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включно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)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Інформацію про результати проведення </w:t>
            </w:r>
            <w:r w:rsidRPr="00173C9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обласної виставки-конкурсу серед учнів молодшого шкільного віку з початкового технічного моделювання    (до 10 років включно)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що додається, взяти до уваги.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Затвердити протокол командної першості </w:t>
            </w:r>
            <w:r w:rsidRPr="00173C9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обласної виставки-конкурсу серед учнів молодшого шкільного віку з початкового технічного моделювання   (до 10 років включно)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що додається</w:t>
            </w:r>
          </w:p>
        </w:tc>
      </w:tr>
      <w:tr w:rsidR="00173C95" w:rsidRPr="00173C95" w:rsidTr="00173C95">
        <w:trPr>
          <w:trHeight w:val="201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141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направлення учнів – вихованців обласного комунального позашкільного навчального закладу «Рівненська Мала академія наук учнівської молоді» Рівненської обласної ради для участі у Всеукраїнській науково-практичній конференції «Україна очима молодих»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Направити з 04 по 06 червня 2024 року до Львівської обласної Малої академії наук (Львівський професійний коледж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готельно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-туристичного і ресторанного сервісу, вул. Пулюя, 38, м. Львів) учнів – вихованців Рівненської Малої академії наук учнівської молоді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142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проведення атестаційної експертизи</w:t>
            </w:r>
          </w:p>
        </w:tc>
        <w:tc>
          <w:tcPr>
            <w:tcW w:w="7474" w:type="dxa"/>
          </w:tcPr>
          <w:p w:rsid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Провести з 04 по 07 червня 2024 року атестаційну експертизу окремих професій: «Водій автотранспортних засобів (категорія «В»), «Водій автотранспортних засобів (категорія «С»)» Відокремленого структурного підрозділу «Рівненський автотранспортний фаховий коледж Національного університету водного господарства та природокористування».   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Утворити експертну комісію для атестаційної експертизи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окремих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професій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: «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Водій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автотранспортних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засобів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(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категорія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«В»), «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Водій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автотранспортних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засобів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(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категорія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«С»)»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Відокремленого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структурного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підрозділу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«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Рівненський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lastRenderedPageBreak/>
              <w:t>автотранспортний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фаховий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коледж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Національного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у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ніверситету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водного господарства та природокористування» та затвердити її склад, що додається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05.06.2024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143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призначення уповноваженої особи для накладання кваліфікованого електронного підпису на ліцензію у сфері загальної середньої освіти в Єдиній державній електронній базі з питань освіти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Призначити уповноваженою особою для накладання кваліфікованого електронного підпису на ліцензію у сфері загальної середньої освіти в Єдиній державній електронній базі з питань освіти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Полюхович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Олену Василівну – заступника директора департаменту - начальника управління професійної, вищої освіти, фінансово-економічної, кадрової, організаційної та правової роботи департаменту освіти і науки облдержадміністрації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144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створення навчально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-</w:t>
            </w:r>
          </w:p>
          <w:p w:rsidR="00173C95" w:rsidRPr="00173C95" w:rsidRDefault="00173C95" w:rsidP="00173C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практичного центру </w:t>
            </w:r>
          </w:p>
          <w:p w:rsidR="00173C95" w:rsidRPr="00173C95" w:rsidRDefault="00173C95" w:rsidP="00173C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73C95" w:rsidRPr="00173C95" w:rsidRDefault="00173C95" w:rsidP="00173C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Створити навчально-практичний центр «Центр інноваційного транспорту для дорожнього будівництва» на базі Вищого професійного училища № 22 м. Сарни.</w:t>
            </w:r>
          </w:p>
          <w:p w:rsidR="00173C95" w:rsidRPr="00173C95" w:rsidRDefault="00173C95" w:rsidP="00173C95">
            <w:pPr>
              <w:tabs>
                <w:tab w:val="num" w:pos="10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Директору Вищого професійного училища №22 м. Сарни Володимиру Городнюку забезпечити проведення необхідної роботи щодо створення навчально-практичного центру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06.06.2024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145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 підготовку та готовність закладів професійної (професійно-технічної) освіти до початку 2024 – 2025 навчального року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Директорам закладів професійної (професійно-технічної) освіти: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провести з 05 – 1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7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серпня 2024 року огляди готовності закладів професійної (професійно-технічної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) освіти до роботи у новому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2024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– 2025 навчальному році; 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забезпечити підготовку закладів професійної (професійно-технічної) освіти до роботи у новому 2024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2025 навчальному році;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забезпечити технічну готовність споруд цивільного захисту для укриття учасників освітнього процесу;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продовжити роботу щодо забезпечення закладу освіти об’єктами фонду захисних споруд цивільного захисту шляхом облаштування існуючих та будівництва нових захисних споруд цивільного захисту, найпростіших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укриттів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із застосуванням проєктів повторного використання або за індивідуальними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проєктними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рішеннями з урахуванням вимог державних будівельних норм, законодавства з питань пожежної безпеки, вимог щодо необхідної кількості евакуаційних виходів, наявності водопостачання, водовідведення, вентиляції, обігріву, освітлення, інтернету, засобів надання медичної допомоги, доступності для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маломобільних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груп населення, зокрема осіб з інвалідністю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146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затвердження мережі  пунктів тестування для проведення основних сесій</w:t>
            </w:r>
          </w:p>
          <w:p w:rsidR="00173C95" w:rsidRPr="00173C95" w:rsidRDefault="00173C95" w:rsidP="00173C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вступних іспитів</w:t>
            </w:r>
          </w:p>
          <w:p w:rsidR="00173C95" w:rsidRPr="00173C95" w:rsidRDefault="00173C95" w:rsidP="00173C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З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атвердити мережу пунктів тестування (далі – ПТ) для проведення основних сесій вступних випробувань (далі – НМТ) у Рівненській області, що додається. </w:t>
            </w:r>
          </w:p>
          <w:p w:rsidR="00173C95" w:rsidRPr="00173C95" w:rsidRDefault="00173C95" w:rsidP="00173C9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Установити, що не підлягає розголошенню інформація про назви інституцій, на базі яких буде створено ПТ, адреси їх розташування, а також дні (зміни) роботи ПТ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освіти і науки Рівненської обласної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147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забезпечення перевезення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Директору Обласного спортивного ліцею в м. Костопіль Рівненської обласної ради Сергію ЗАХОЖОМУ: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    забезпечити перевезення команд-учасниць 5-го етапу фізкультурно-оздоровчих заходів «Пліч-о-пліч. Всеукраїнські шкільні ліги», що відбуватимуться  з 12 по 17 червня 2024 року, з м. Рівне, Майдан Просвіти, 1 у м. Київ та у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зворотньому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напрямку;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взяти до відома, що оплата видатків на участь команд-учасниць 5-го етапу фізкультурно-оздоровчих заходів «Пліч-о-пліч. Всеукраїнські шкільні ліги», здійснюватиметься управлінням у справах молоді та спорту Рівненської облдержадміністрації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148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підсумки І етапу Всеукраїнського конкурсу рукописів навчальної літератури для закладів позашкільної освіти у 2024 році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Визнати переможцями І етапу Всеукраїнського конкурсу рукописів навчальної   літератури   для   закладів   позашкільної   освіти  та   нагородити дипломами департаменту освіти і науки Рівненської обласної державної адміністрації авторів навчальних програм згідно з додатком 1.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Визнати переможцями І етапу Всеукраїнського конкурсу рукописів навчальної літератури для закладів позашкільної освіти та нагородити дипломами департаменту освіти і науки Рівненської обласної державної адміністрації авторів навчальної літератури згідно з додатком 2.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14.06.2024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149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забезпечення перевезення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Директору комунального закладу «Центр національно-патріотичного виховання та позашкільної освіти» Віктору САМЧУКУ: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забезпечити перевезення команд-учасниць 5-го етапу фізкультурно-оздоровчих заходів «Пліч-о-пліч. Всеукраїнські шкільні ліги», що відбуватимуться  з 12 по 17 червня 2024 року, з м. Рівне, Майдан Просвіти, 1 у м. Київ та у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зворотньому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напрямку;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взяти до відома, що оплата видатків на участь команд-учасниць 5-го етапу фізкультурно-оздоровчих заходів «Пліч-о-пліч. Всеукраїнські шкільні ліги», здійснюватиметься управлінням у справах молоді та спорту Рівненської облдержадміністрації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14.06.2024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150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 проведення атестаційної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експертизи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Провести з 18 по 20 червня 2024 року атестаційну експертизу окремої професії «Тракторист-машиніст сільськогосподарського виробництва (категорія А2)» державного професійно-технічного навчального закладу «Острозьке вище професійне училище».   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Утворити експертну комісію для атестаційної експертизи окремої професії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«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Тракторист-машиніст сільськогосподарського виробництва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(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категорі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я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А2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)» д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ержавного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професійно-технічного навчального закладу «Острозьке вище професійне училище» та затвердити її склад, що додається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14.06.2024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151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проведення ІІ (обласного) етапу Всеукраїнської дитячо-юнацької військово-патріотичної гри «Сокіл» («Джура») у 2023/2024 навчальному році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Провести з 25 по 27 червня 2024 року на території паркової зони         селища  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Мізоч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Рівненського   району   ІІ   (обласний)  етап   Всеукраїнської дитячо-юнацької військово-патріотичної гри «Сокіл» («Джура») у 2023/2024 навчальному році (далі – гра) з дотриманням законодавства України про введення воєнного стану під час проведення гри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освіти і науки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152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паспорти бюджетних програм на 2024 рік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      Внести зміни до паспортів бюджетних програм місцевого бюджету на 2024 рік  за КПКВКМБ  0611091, 0611221, 0611222, затверджених наказом департаменту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освіти і науки Рівненської обласної державної адміністрації від 30 січня 2024 року № 19, виклавши їх у новій редакції, погодженій департаментом фінансів Рівненської обласної державної адміністрації, що додаються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Наказ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153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створення апеляційної комісії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Утворити апеляційну комісію департаменту освіти і науки Рівненської обласної державної адміністрації та затвердити склад комісії згідно з додатком.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Членам апеляційної комісії у своїй роботі чітко дотримуватися вимог</w:t>
            </w: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Порядку зарахування, відрахування та переведення осіб до військових (військово-морських, військово-спортивних) ліцеїв, ліцеїв із посиленою військово-фізичною підготовкою, затвердженого наказом Міністерства оборони України від 28 липня 2021 року № 220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Наказ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20.06.2024</w:t>
            </w:r>
          </w:p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№ 154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затвердження програм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гуртків  закладів позашкільної освіти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Затвердити  програми гуртків закладів позашкільної освіти згідно з переліком, що додається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Наказ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21.06.2024 № 155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підсумки проведення ІІ етапу щорічного фестивалю-конкурсу «Молодь обирає здоров’я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Інформацію  про  підсумки проведення ІІ етапу щорічного Всеукраїнського фестивалю-конкурсу «Молодь обирає здоров’я», що додається, взяти до уваги.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Визнати переможцями проведення ІІ етапу щорічного Всеукраїнського фестивалю-конкурсу «Молодь обирає здоров’я» та нагородити дипломом департаменту освіти і науки Рівненської обласної державної адміністрації команди  та учнів закладів загальної середньої та позашкільної освіти у конкурсах</w:t>
            </w:r>
          </w:p>
        </w:tc>
      </w:tr>
      <w:tr w:rsidR="00173C95" w:rsidRPr="00173C95" w:rsidTr="00173C95">
        <w:trPr>
          <w:trHeight w:val="557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Наказ 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27.06.2024 № 156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 систему обліку публічної інформації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Створити систему обліку публічної інформації департаменту освіти і науки Рівненської обласної державної адміністрації (далі – система обліку).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Директору комунального закладу «Центр ресурсного забезпечення установі закладів освіти» Рівненської обласної рад Руслані КОНОЩУК: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забезпечити організаційно-технічні заходи з підтримки та функціонування в департаменті освіти і науки облдержадміністрації Системи обліку;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щомісячно (не пізніше 05 числа наступного місяця) надавати управлінню професійної, вищої освіти, фінансово-економічної, кадрової, організаційної та правової роботи департаменту освіти і науки облдержадміністрації для оприлюднення відомості про документи у системі обліку публічної інформації департаменту освіти і науки облдержадміністрації за формою, що додається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Наказ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27.06.2024 № 157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Про підсумки проведення ІІ (обласного) етапу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Всеукраїнської дитячо-юнацької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військово-патріотичної гри «Сокіл» 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(«Джура») у Рівненській області</w:t>
            </w:r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 2023/2024 навчальному році</w:t>
            </w: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Інформацію  про  результати  проведення ІІ (обласного) етапу  Всеукраїнської дитячо-юнацької військово-патріотичної гри «Сокіл» («Джура») що додається, взяти до уваги.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Визнати та нагородити переможців ІІ (обласного) етапу  Всеукраїнської дитячо-юнацької військово-патріотичної гри «Сокіл Джура») дипломами департаменту освіти і науки Рівненської обласної державної адміністрації за віковими групами</w:t>
            </w:r>
          </w:p>
        </w:tc>
      </w:tr>
      <w:tr w:rsidR="00173C95" w:rsidRPr="00173C95" w:rsidTr="00173C95">
        <w:trPr>
          <w:trHeight w:val="343"/>
        </w:trPr>
        <w:tc>
          <w:tcPr>
            <w:tcW w:w="600" w:type="dxa"/>
          </w:tcPr>
          <w:p w:rsidR="00173C95" w:rsidRPr="00173C95" w:rsidRDefault="00173C95" w:rsidP="0017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59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і науки Рівненської обласної державної адміністрації</w:t>
            </w:r>
          </w:p>
        </w:tc>
        <w:tc>
          <w:tcPr>
            <w:tcW w:w="1122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Наказ</w:t>
            </w:r>
          </w:p>
        </w:tc>
        <w:tc>
          <w:tcPr>
            <w:tcW w:w="1200" w:type="dxa"/>
          </w:tcPr>
          <w:p w:rsidR="00173C95" w:rsidRPr="00173C95" w:rsidRDefault="00173C95" w:rsidP="0017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</w:rPr>
              <w:t>28.06.2024 № 158</w:t>
            </w:r>
          </w:p>
        </w:tc>
        <w:tc>
          <w:tcPr>
            <w:tcW w:w="3120" w:type="dxa"/>
          </w:tcPr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Про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нагородження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за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особливих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умов Золотою та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Срібною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медалями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студентів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закладів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фахової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передвищої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освіти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у 2023/2024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навчальному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році</w:t>
            </w:r>
            <w:proofErr w:type="spellEnd"/>
          </w:p>
          <w:p w:rsidR="00173C95" w:rsidRPr="00173C95" w:rsidRDefault="00173C95" w:rsidP="00173C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74" w:type="dxa"/>
          </w:tcPr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Нагородити Золотою медаллю «За високі досягнення у навчанні» студентів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студентів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закладів фахової передвищої  освіти, які засвоїли програму повної загальної середньої освіти у 2024 році, звільнених від  державної підсумкової атестації відповідно до законодавства у 2023/2024 навчальному році, згідно з додатком 1.</w:t>
            </w:r>
          </w:p>
          <w:p w:rsidR="00173C95" w:rsidRPr="00173C95" w:rsidRDefault="00173C95" w:rsidP="00173C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Нагородити Срібною медаллю «За високі досягнення у навчанні» студентів </w:t>
            </w:r>
            <w:proofErr w:type="spellStart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студентів</w:t>
            </w:r>
            <w:proofErr w:type="spellEnd"/>
            <w:r w:rsidRPr="00173C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закладів фахової передвищої  освіти, які засвоїли програму повної загальної середньої освіти у 2024 році, звільнених від  державної підсумкової атестації відповідно до законодавства у 2023/2024 навчальному році, згідно з додатком 2.</w:t>
            </w:r>
          </w:p>
        </w:tc>
      </w:tr>
    </w:tbl>
    <w:p w:rsidR="00173C95" w:rsidRPr="00173C95" w:rsidRDefault="00173C95" w:rsidP="00173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3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</w:p>
    <w:p w:rsidR="00173C95" w:rsidRPr="00173C95" w:rsidRDefault="00173C95" w:rsidP="00173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3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A12B04" w:rsidRDefault="00173C95"/>
    <w:sectPr w:rsidR="00A12B04" w:rsidSect="00173C9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C5C21"/>
    <w:multiLevelType w:val="hybridMultilevel"/>
    <w:tmpl w:val="7E54DDCE"/>
    <w:lvl w:ilvl="0" w:tplc="D0FE568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5B8A22D8">
      <w:numFmt w:val="none"/>
      <w:lvlText w:val=""/>
      <w:lvlJc w:val="left"/>
      <w:pPr>
        <w:tabs>
          <w:tab w:val="num" w:pos="360"/>
        </w:tabs>
      </w:pPr>
    </w:lvl>
    <w:lvl w:ilvl="2" w:tplc="011290E8">
      <w:numFmt w:val="none"/>
      <w:lvlText w:val=""/>
      <w:lvlJc w:val="left"/>
      <w:pPr>
        <w:tabs>
          <w:tab w:val="num" w:pos="360"/>
        </w:tabs>
      </w:pPr>
    </w:lvl>
    <w:lvl w:ilvl="3" w:tplc="B4D83080">
      <w:numFmt w:val="none"/>
      <w:lvlText w:val=""/>
      <w:lvlJc w:val="left"/>
      <w:pPr>
        <w:tabs>
          <w:tab w:val="num" w:pos="360"/>
        </w:tabs>
      </w:pPr>
    </w:lvl>
    <w:lvl w:ilvl="4" w:tplc="056A0F26">
      <w:numFmt w:val="none"/>
      <w:lvlText w:val=""/>
      <w:lvlJc w:val="left"/>
      <w:pPr>
        <w:tabs>
          <w:tab w:val="num" w:pos="360"/>
        </w:tabs>
      </w:pPr>
    </w:lvl>
    <w:lvl w:ilvl="5" w:tplc="6E0E8A32">
      <w:numFmt w:val="none"/>
      <w:lvlText w:val=""/>
      <w:lvlJc w:val="left"/>
      <w:pPr>
        <w:tabs>
          <w:tab w:val="num" w:pos="360"/>
        </w:tabs>
      </w:pPr>
    </w:lvl>
    <w:lvl w:ilvl="6" w:tplc="21E477AA">
      <w:numFmt w:val="none"/>
      <w:lvlText w:val=""/>
      <w:lvlJc w:val="left"/>
      <w:pPr>
        <w:tabs>
          <w:tab w:val="num" w:pos="360"/>
        </w:tabs>
      </w:pPr>
    </w:lvl>
    <w:lvl w:ilvl="7" w:tplc="396EC090">
      <w:numFmt w:val="none"/>
      <w:lvlText w:val=""/>
      <w:lvlJc w:val="left"/>
      <w:pPr>
        <w:tabs>
          <w:tab w:val="num" w:pos="360"/>
        </w:tabs>
      </w:pPr>
    </w:lvl>
    <w:lvl w:ilvl="8" w:tplc="0832B1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A5"/>
    <w:rsid w:val="00173C95"/>
    <w:rsid w:val="00425202"/>
    <w:rsid w:val="00EB51A5"/>
    <w:rsid w:val="00F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33C7C-29BC-4B59-BE00-F8B98AB7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9065</Words>
  <Characters>5168</Characters>
  <Application>Microsoft Office Word</Application>
  <DocSecurity>0</DocSecurity>
  <Lines>43</Lines>
  <Paragraphs>28</Paragraphs>
  <ScaleCrop>false</ScaleCrop>
  <Company/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2024-07-02T09:02:00Z</dcterms:created>
  <dcterms:modified xsi:type="dcterms:W3CDTF">2024-07-02T09:05:00Z</dcterms:modified>
</cp:coreProperties>
</file>